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jc w:val="center"/>
        <w:rPr>
          <w:rFonts w:ascii="Comic Sans MS" w:cs="Comic Sans MS" w:eastAsia="Comic Sans MS" w:hAnsi="Comic Sans MS"/>
          <w:b w:val="1"/>
          <w:color w:val="ff0000"/>
          <w:sz w:val="56"/>
          <w:szCs w:val="56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56"/>
          <w:szCs w:val="56"/>
          <w:highlight w:val="white"/>
          <w:rtl w:val="0"/>
        </w:rPr>
        <w:t xml:space="preserve">Гепатит А у детей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-127634</wp:posOffset>
            </wp:positionH>
            <wp:positionV relativeFrom="paragraph">
              <wp:posOffset>114300</wp:posOffset>
            </wp:positionV>
            <wp:extent cx="2438400" cy="2489200"/>
            <wp:effectExtent b="0" l="0" r="0" t="0"/>
            <wp:wrapSquare wrapText="bothSides" distB="114300" distT="114300" distL="114300" distR="114300"/>
            <wp:docPr descr="http://idr-vestnik.ru/media/cache/16/47/7a/89/16477a8900f81910cebbf0f8afab39f0.jpg" id="1" name="image1.jpg"/>
            <a:graphic>
              <a:graphicData uri="http://schemas.openxmlformats.org/drawingml/2006/picture">
                <pic:pic>
                  <pic:nvPicPr>
                    <pic:cNvPr descr="http://idr-vestnik.ru/media/cache/16/47/7a/89/16477a8900f81910cebbf0f8afab39f0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8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jc w:val="both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highlight w:val="white"/>
          <w:rtl w:val="0"/>
        </w:rPr>
        <w:t xml:space="preserve">Причина гепатита А у детей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 - это вирус, который проникает в печень. По сути - это кишечная инфекция, заразиться которой может ребенок, общаясь с уже заболевшим человеком. Причем наиболее опасны в этом смысле дни перед появлением желтухи. Вирус передается также через продукты питания, воду или через руки, загрязненные фекалиями. Поэтому очень важно, тщательно мыть фрукты и овощи перед едой, после прогулки, а также мыть руки с мылом всякий раз после посещения туалета. Если кто-то из вашего окружения заболел гепатитом А, то симптомы болезни у ребенка могут появиться в течение 2-4 недель, прошедших с момента общения с инфицированным ребенком.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jc w:val="both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highlight w:val="white"/>
          <w:rtl w:val="0"/>
        </w:rPr>
        <w:t xml:space="preserve">Симптомы гепатита 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 - у большинства детей она начинается с повышения температуры от 37,5 до 38-39 градусов. Появляется слабость, тошнота, рвота, пропадает аппетит. Ребенок жалуется на боли в животе, особенно в области правого подреберья (здесь расположена печень). Обычно через 1-2 дня температура снижается до нормы. Перед возникновением желтухи часто появляется один из самых наглядных симптомов: моча становится темной (цвета пива), а кал, наоборот, светлеет (цвета глин). Этот преджелтушный период длится примерно 6 дней. Подтвердить диагноз врачу помогает биохимический анализ крови.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80" w:line="392.72727272727275" w:lineRule="auto"/>
        <w:jc w:val="both"/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highlight w:val="white"/>
          <w:rtl w:val="0"/>
        </w:rPr>
        <w:t xml:space="preserve">Профилактика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Лучшей профилактикой гепатита является прививка от него. Сегодня созданы достаточно эффективные вакцины, защищающие от гепатита А. Длительность защиты с помощью вакцинации  не мене 6-10 лет.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color w:val="231f20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32"/>
          <w:szCs w:val="32"/>
          <w:highlight w:val="white"/>
          <w:rtl w:val="0"/>
        </w:rPr>
        <w:t xml:space="preserve">Профилактика гепатита А, как и других кишечных инфекций, включает санитарно-гигиенические мероприятия (в т.ч. соблюдение личной гигиены, регулярное мытье рук, употребление только кипяченой воды), обеспечение доброкачественными питьевой водой и продуктами питания.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